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outlineLvl w:val="0"/>
        <w:rPr>
          <w:rFonts w:hint="eastAsia" w:ascii="黑体" w:hAnsi="宋体" w:eastAsia="黑体" w:cs="Times New Roman"/>
          <w:bCs/>
          <w:color w:val="auto"/>
          <w:sz w:val="32"/>
          <w:szCs w:val="32"/>
          <w:highlight w:val="none"/>
          <w:lang w:eastAsia="zh-CN"/>
        </w:rPr>
      </w:pPr>
      <w:r>
        <w:rPr>
          <w:rFonts w:hint="eastAsia" w:ascii="黑体" w:hAnsi="宋体" w:eastAsia="黑体" w:cs="Times New Roman"/>
          <w:bCs/>
          <w:color w:val="auto"/>
          <w:sz w:val="32"/>
          <w:szCs w:val="32"/>
          <w:highlight w:val="none"/>
        </w:rPr>
        <w:t>附件1</w:t>
      </w:r>
      <w:r>
        <w:rPr>
          <w:rFonts w:hint="eastAsia" w:ascii="黑体" w:hAnsi="宋体" w:eastAsia="黑体" w:cs="Times New Roman"/>
          <w:bCs/>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1"/>
        <w:jc w:val="center"/>
        <w:textAlignment w:val="auto"/>
        <w:rPr>
          <w:rFonts w:ascii="方正小标宋简体" w:hAnsi="方正小标宋简体" w:eastAsia="方正小标宋简体" w:cs="方正小标宋简体"/>
          <w:color w:val="auto"/>
          <w:kern w:val="0"/>
          <w:sz w:val="44"/>
          <w:szCs w:val="44"/>
          <w:highlight w:val="none"/>
        </w:rPr>
      </w:pPr>
      <w:r>
        <w:rPr>
          <w:rFonts w:hint="eastAsia" w:ascii="方正小标宋简体" w:hAnsi="方正小标宋简体" w:eastAsia="方正小标宋简体" w:cs="方正小标宋简体"/>
          <w:color w:val="auto"/>
          <w:kern w:val="0"/>
          <w:sz w:val="44"/>
          <w:szCs w:val="44"/>
          <w:highlight w:val="none"/>
        </w:rPr>
        <w:t>202</w:t>
      </w:r>
      <w:r>
        <w:rPr>
          <w:rFonts w:hint="eastAsia" w:ascii="方正小标宋简体" w:hAnsi="方正小标宋简体" w:eastAsia="方正小标宋简体" w:cs="方正小标宋简体"/>
          <w:color w:val="auto"/>
          <w:kern w:val="0"/>
          <w:sz w:val="44"/>
          <w:szCs w:val="44"/>
          <w:highlight w:val="none"/>
          <w:lang w:val="en-US" w:eastAsia="zh-CN"/>
        </w:rPr>
        <w:t>4</w:t>
      </w:r>
      <w:r>
        <w:rPr>
          <w:rFonts w:hint="eastAsia" w:ascii="方正小标宋简体" w:hAnsi="方正小标宋简体" w:eastAsia="方正小标宋简体" w:cs="方正小标宋简体"/>
          <w:color w:val="auto"/>
          <w:kern w:val="0"/>
          <w:sz w:val="44"/>
          <w:szCs w:val="44"/>
          <w:highlight w:val="none"/>
        </w:rPr>
        <w:t>年贵州省教育科学研究优秀成果</w:t>
      </w:r>
    </w:p>
    <w:p>
      <w:pPr>
        <w:keepNext w:val="0"/>
        <w:keepLines w:val="0"/>
        <w:pageBreakBefore w:val="0"/>
        <w:widowControl w:val="0"/>
        <w:kinsoku/>
        <w:wordWrap/>
        <w:overflowPunct/>
        <w:topLinePunct w:val="0"/>
        <w:autoSpaceDE/>
        <w:autoSpaceDN/>
        <w:bidi w:val="0"/>
        <w:adjustRightInd/>
        <w:snapToGrid/>
        <w:spacing w:line="560" w:lineRule="exact"/>
        <w:ind w:firstLine="641"/>
        <w:jc w:val="center"/>
        <w:textAlignment w:val="auto"/>
        <w:rPr>
          <w:rFonts w:ascii="方正小标宋简体" w:hAnsi="方正小标宋简体" w:eastAsia="方正小标宋简体" w:cs="方正小标宋简体"/>
          <w:color w:val="auto"/>
          <w:kern w:val="0"/>
          <w:sz w:val="44"/>
          <w:szCs w:val="44"/>
          <w:highlight w:val="none"/>
        </w:rPr>
      </w:pPr>
      <w:r>
        <w:rPr>
          <w:rFonts w:hint="eastAsia" w:ascii="方正小标宋简体" w:hAnsi="方正小标宋简体" w:eastAsia="方正小标宋简体" w:cs="方正小标宋简体"/>
          <w:color w:val="auto"/>
          <w:kern w:val="0"/>
          <w:sz w:val="44"/>
          <w:szCs w:val="44"/>
          <w:highlight w:val="none"/>
        </w:rPr>
        <w:t>评选奖励办法</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562" w:firstLineChars="200"/>
        <w:jc w:val="both"/>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第一条  指导思想</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以习近平新时代中国特色社会主义思想为指导，深入贯彻落实</w:t>
      </w:r>
      <w:r>
        <w:rPr>
          <w:rFonts w:hint="eastAsia" w:ascii="仿宋" w:hAnsi="仿宋" w:eastAsia="仿宋" w:cs="仿宋"/>
          <w:color w:val="auto"/>
          <w:sz w:val="28"/>
          <w:szCs w:val="28"/>
          <w:highlight w:val="none"/>
          <w:lang w:val="en-US" w:eastAsia="zh-CN"/>
        </w:rPr>
        <w:t>2024年全国教育工作会议精神</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紧密结合</w:t>
      </w:r>
      <w:r>
        <w:rPr>
          <w:rFonts w:hint="eastAsia" w:ascii="仿宋" w:hAnsi="仿宋" w:eastAsia="仿宋" w:cs="仿宋"/>
          <w:color w:val="auto"/>
          <w:sz w:val="28"/>
          <w:szCs w:val="28"/>
          <w:highlight w:val="none"/>
          <w:lang w:val="en-US" w:eastAsia="zh-CN"/>
        </w:rPr>
        <w:t>我省当前</w:t>
      </w:r>
      <w:r>
        <w:rPr>
          <w:rFonts w:hint="eastAsia" w:ascii="仿宋" w:hAnsi="仿宋" w:eastAsia="仿宋" w:cs="仿宋"/>
          <w:color w:val="auto"/>
          <w:sz w:val="28"/>
          <w:szCs w:val="28"/>
          <w:highlight w:val="none"/>
        </w:rPr>
        <w:t>教育改革发展的实践，围绕中心，服务大局，推进教育科学的发展和创新，提高教育科研质量，为建设</w:t>
      </w:r>
      <w:r>
        <w:rPr>
          <w:rFonts w:hint="eastAsia" w:ascii="仿宋" w:hAnsi="仿宋" w:eastAsia="仿宋" w:cs="仿宋"/>
          <w:color w:val="auto"/>
          <w:sz w:val="28"/>
          <w:szCs w:val="28"/>
          <w:highlight w:val="none"/>
          <w:lang w:val="en-US" w:eastAsia="zh-CN"/>
        </w:rPr>
        <w:t>教育强国、</w:t>
      </w:r>
      <w:r>
        <w:rPr>
          <w:rFonts w:hint="eastAsia" w:ascii="仿宋" w:hAnsi="仿宋" w:eastAsia="仿宋" w:cs="仿宋"/>
          <w:color w:val="auto"/>
          <w:sz w:val="28"/>
          <w:szCs w:val="28"/>
          <w:highlight w:val="none"/>
        </w:rPr>
        <w:t>教育现代化、特色教育强省做出贡献。</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评奖工作坚持政治标准、学术标准和学风标准，倡导质量第一，体现创新性和社会影响力。</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562" w:firstLineChars="200"/>
        <w:jc w:val="both"/>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第二条  评奖范围</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申报成果</w:t>
      </w:r>
      <w:r>
        <w:rPr>
          <w:rFonts w:hint="eastAsia" w:ascii="仿宋" w:hAnsi="仿宋" w:eastAsia="仿宋" w:cs="仿宋"/>
          <w:color w:val="auto"/>
          <w:sz w:val="28"/>
          <w:szCs w:val="28"/>
          <w:highlight w:val="none"/>
          <w:lang w:val="en-US" w:eastAsia="zh-CN"/>
        </w:rPr>
        <w:t>主要分为</w:t>
      </w:r>
      <w:r>
        <w:rPr>
          <w:rFonts w:hint="eastAsia" w:ascii="仿宋" w:hAnsi="仿宋" w:eastAsia="仿宋" w:cs="仿宋"/>
          <w:color w:val="auto"/>
          <w:sz w:val="28"/>
          <w:szCs w:val="28"/>
          <w:highlight w:val="none"/>
        </w:rPr>
        <w:t>已公开出版和发表的成果，包括著作、论文、工具书、教材等（不包括论文集、音像制品、计算机软件）。不宜公开出版和发表，但已被决策、管理部门采用的咨询报告</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有市（州）级及以上立项课题结项支撑的研究报告</w:t>
      </w:r>
      <w:r>
        <w:rPr>
          <w:rFonts w:hint="eastAsia" w:ascii="仿宋" w:hAnsi="仿宋" w:eastAsia="仿宋" w:cs="仿宋"/>
          <w:color w:val="auto"/>
          <w:sz w:val="28"/>
          <w:szCs w:val="28"/>
          <w:highlight w:val="none"/>
        </w:rPr>
        <w:t>。</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咨询</w:t>
      </w:r>
      <w:r>
        <w:rPr>
          <w:rFonts w:hint="eastAsia" w:ascii="仿宋" w:hAnsi="仿宋" w:eastAsia="仿宋" w:cs="仿宋"/>
          <w:color w:val="auto"/>
          <w:sz w:val="28"/>
          <w:szCs w:val="28"/>
          <w:highlight w:val="none"/>
          <w:lang w:eastAsia="zh-CN"/>
        </w:rPr>
        <w:t>报告</w:t>
      </w:r>
      <w:r>
        <w:rPr>
          <w:rFonts w:hint="eastAsia" w:ascii="仿宋" w:hAnsi="仿宋" w:eastAsia="仿宋" w:cs="仿宋"/>
          <w:color w:val="auto"/>
          <w:sz w:val="28"/>
          <w:szCs w:val="28"/>
          <w:highlight w:val="none"/>
          <w:lang w:val="en-US" w:eastAsia="zh-CN"/>
        </w:rPr>
        <w:t>主要是指已被决策、管理部门采用的调研报告、论证报告等研究成果，原则上需具有厅级及以上管理部门或相关领导的肯定性批示、政策文件等作为印证材料。</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各市（州）、学校（单位）应择优推荐。</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参评成果限定在201</w:t>
      </w:r>
      <w:r>
        <w:rPr>
          <w:rFonts w:hint="eastAsia" w:ascii="仿宋" w:hAnsi="仿宋" w:eastAsia="仿宋" w:cs="仿宋"/>
          <w:color w:val="auto"/>
          <w:sz w:val="28"/>
          <w:szCs w:val="28"/>
          <w:highlight w:val="none"/>
          <w:lang w:val="en-US" w:eastAsia="zh-CN"/>
        </w:rPr>
        <w:t>9</w:t>
      </w:r>
      <w:r>
        <w:rPr>
          <w:rFonts w:hint="eastAsia" w:ascii="仿宋" w:hAnsi="仿宋" w:eastAsia="仿宋" w:cs="仿宋"/>
          <w:color w:val="auto"/>
          <w:sz w:val="28"/>
          <w:szCs w:val="28"/>
          <w:highlight w:val="none"/>
        </w:rPr>
        <w:t>年1月1日至202</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年12月31日期间。</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凡已在往届</w:t>
      </w:r>
      <w:r>
        <w:rPr>
          <w:rFonts w:hint="eastAsia" w:ascii="仿宋" w:hAnsi="仿宋" w:eastAsia="仿宋" w:cs="仿宋"/>
          <w:color w:val="auto"/>
          <w:sz w:val="28"/>
          <w:szCs w:val="28"/>
          <w:highlight w:val="none"/>
        </w:rPr>
        <w:t>已经获得省级及以上哲学社会科学优秀成果奖、科技进步奖、省教育科学研究优秀成果奖、省中小学（幼儿园）教学成果奖</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省基础教育教学成果奖</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获奖</w:t>
      </w:r>
      <w:r>
        <w:rPr>
          <w:rFonts w:hint="eastAsia" w:ascii="仿宋" w:hAnsi="仿宋" w:eastAsia="仿宋" w:cs="仿宋"/>
          <w:color w:val="auto"/>
          <w:sz w:val="28"/>
          <w:szCs w:val="28"/>
          <w:highlight w:val="none"/>
        </w:rPr>
        <w:t>的成果，不再参加本次评奖。</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各市（州）、单位需严格审核遴选，省教育科学规划领导小组办公室将对拟获奖成果进行抽查审核，一旦发现以已获省级及以上成果奖的相同内容或高度雷同内容再度申报，取消其拟获奖资格，且成果主持人三年不得再申报贵州省教育科学规划项目，负责组织遴选申报的市（州）、单位负相应责任。</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562" w:firstLineChars="200"/>
        <w:jc w:val="both"/>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第三条  参评条件</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参评成果具有正确的政治方向，具有较高的学术价值、应用价值，研究方法科学</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体现教育科学研究的新水平，科学解释和准确解答教育教学改革发展中的重点、难点、热点问题，或者有效解决教育教学实际问题。具体条件是：</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坚持社会主义价值取向及价值评价标准，正确运用马克思主义的立场、观点和方法进行科学研究。</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学术上坚持创新和质量导向。要求观点鲜明，资料翔实，数据准确，论据充分，逻辑严密，方法科学。</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学风端正，符合学术道德和学术规范要求。</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坚持实践标准。一切从实际出发，理论联系实际。以解决问题为指引，以实现目标为方向，以实际成效为标准。</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562" w:firstLineChars="200"/>
        <w:jc w:val="both"/>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第四条  申报要求</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每项申报成果参与人不超过9人，单位成果只填写参与单位名称，总数不超过3个。</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各申报单位严格按限额推荐，不得占用本单位名额推荐外单位人员的成果。每位申报者只能申报一项成果。</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系列丛书只能以单本著作独立参评；多卷本专著整体申报参评，不能单卷参评。</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申报成果查重不能超过30%</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以中国知网查重报告为准</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562" w:firstLineChars="200"/>
        <w:jc w:val="both"/>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第五条  申报流程</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名额分配</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202</w:t>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年教育科研成果评选奖励采取限额申报，名额分配如下：贵阳市、遵义市、毕节市各</w:t>
      </w:r>
      <w:r>
        <w:rPr>
          <w:rFonts w:hint="eastAsia" w:ascii="仿宋" w:hAnsi="仿宋" w:eastAsia="仿宋" w:cs="仿宋"/>
          <w:color w:val="auto"/>
          <w:sz w:val="28"/>
          <w:szCs w:val="28"/>
          <w:highlight w:val="none"/>
          <w:lang w:val="en-US" w:eastAsia="zh-CN"/>
        </w:rPr>
        <w:t>18</w:t>
      </w:r>
      <w:r>
        <w:rPr>
          <w:rFonts w:hint="eastAsia" w:ascii="仿宋" w:hAnsi="仿宋" w:eastAsia="仿宋" w:cs="仿宋"/>
          <w:color w:val="auto"/>
          <w:sz w:val="28"/>
          <w:szCs w:val="28"/>
          <w:highlight w:val="none"/>
        </w:rPr>
        <w:t>项；铜仁市、黔东南州、黔南州各</w:t>
      </w:r>
      <w:r>
        <w:rPr>
          <w:rFonts w:hint="eastAsia" w:ascii="仿宋" w:hAnsi="仿宋" w:eastAsia="仿宋" w:cs="仿宋"/>
          <w:color w:val="auto"/>
          <w:sz w:val="28"/>
          <w:szCs w:val="28"/>
          <w:highlight w:val="none"/>
          <w:lang w:val="en-US" w:eastAsia="zh-CN"/>
        </w:rPr>
        <w:t>13</w:t>
      </w:r>
      <w:r>
        <w:rPr>
          <w:rFonts w:hint="eastAsia" w:ascii="仿宋" w:hAnsi="仿宋" w:eastAsia="仿宋" w:cs="仿宋"/>
          <w:color w:val="auto"/>
          <w:sz w:val="28"/>
          <w:szCs w:val="28"/>
          <w:highlight w:val="none"/>
        </w:rPr>
        <w:t>项；六盘水市、安顺市、黔西南州各</w:t>
      </w:r>
      <w:r>
        <w:rPr>
          <w:rFonts w:hint="eastAsia" w:ascii="仿宋" w:hAnsi="仿宋" w:eastAsia="仿宋" w:cs="仿宋"/>
          <w:color w:val="auto"/>
          <w:sz w:val="28"/>
          <w:szCs w:val="28"/>
          <w:highlight w:val="none"/>
          <w:lang w:val="en-US" w:eastAsia="zh-CN"/>
        </w:rPr>
        <w:t>8</w:t>
      </w:r>
      <w:r>
        <w:rPr>
          <w:rFonts w:hint="eastAsia" w:ascii="仿宋" w:hAnsi="仿宋" w:eastAsia="仿宋" w:cs="仿宋"/>
          <w:color w:val="auto"/>
          <w:sz w:val="28"/>
          <w:szCs w:val="28"/>
          <w:highlight w:val="none"/>
        </w:rPr>
        <w:t>项；省属高校每校1</w:t>
      </w:r>
      <w:r>
        <w:rPr>
          <w:rFonts w:hint="eastAsia" w:ascii="仿宋" w:hAnsi="仿宋" w:eastAsia="仿宋" w:cs="仿宋"/>
          <w:color w:val="auto"/>
          <w:sz w:val="28"/>
          <w:szCs w:val="28"/>
          <w:highlight w:val="none"/>
          <w:lang w:val="en-US" w:eastAsia="zh-CN"/>
        </w:rPr>
        <w:t>0</w:t>
      </w:r>
      <w:r>
        <w:rPr>
          <w:rFonts w:hint="eastAsia" w:ascii="仿宋" w:hAnsi="仿宋" w:eastAsia="仿宋" w:cs="仿宋"/>
          <w:color w:val="auto"/>
          <w:sz w:val="28"/>
          <w:szCs w:val="28"/>
          <w:highlight w:val="none"/>
        </w:rPr>
        <w:t>项；市（州）本科院校每校</w:t>
      </w:r>
      <w:r>
        <w:rPr>
          <w:rFonts w:hint="eastAsia" w:ascii="仿宋" w:hAnsi="仿宋" w:eastAsia="仿宋" w:cs="仿宋"/>
          <w:color w:val="auto"/>
          <w:sz w:val="28"/>
          <w:szCs w:val="28"/>
          <w:highlight w:val="none"/>
          <w:lang w:val="en-US" w:eastAsia="zh-CN"/>
        </w:rPr>
        <w:t>7</w:t>
      </w:r>
      <w:r>
        <w:rPr>
          <w:rFonts w:hint="eastAsia" w:ascii="仿宋" w:hAnsi="仿宋" w:eastAsia="仿宋" w:cs="仿宋"/>
          <w:color w:val="auto"/>
          <w:sz w:val="28"/>
          <w:szCs w:val="28"/>
          <w:highlight w:val="none"/>
        </w:rPr>
        <w:t>项；民办高校、高职院校每校5项；省属中等职业学校、省属普通高中每校2项；厅属事业单位每单位3项；省教育学会3项。</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申报材料</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（1）《贵州省教育科学研究优秀成果奖申报评审书》（附件2）一式2份；</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（2）成果原件1份</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如果公开发表的论文不能提供原件的，可以经单位审核，提供加盖单位公章的论文复印件全文，以及该论文在其公开发表的该期刊物的封面、目录</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；支撑证明材料可用复印件加盖单位公章替代，原则上不超过3份。若支撑材料确实丰富的，可用A4纸装订成册，但厚度不得超过1厘米。</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（3）申报表格可在http://jyt.guizhou.gov.cn/贵州省教育厅政务网下载；</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w:t>
      </w:r>
      <w:r>
        <w:rPr>
          <w:rFonts w:hint="eastAsia" w:ascii="仿宋" w:hAnsi="仿宋" w:eastAsia="仿宋" w:cs="仿宋"/>
          <w:color w:val="auto"/>
          <w:sz w:val="28"/>
          <w:szCs w:val="28"/>
          <w:highlight w:val="none"/>
          <w:lang w:val="en-US" w:eastAsia="zh-CN"/>
        </w:rPr>
        <w:t>咨询报告、</w:t>
      </w:r>
      <w:r>
        <w:rPr>
          <w:rFonts w:hint="eastAsia" w:ascii="仿宋" w:hAnsi="仿宋" w:eastAsia="仿宋" w:cs="仿宋"/>
          <w:color w:val="auto"/>
          <w:sz w:val="28"/>
          <w:szCs w:val="28"/>
          <w:highlight w:val="none"/>
        </w:rPr>
        <w:t>研究报告、著作</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工具书、教材</w:t>
      </w:r>
      <w:r>
        <w:rPr>
          <w:rFonts w:hint="eastAsia" w:ascii="仿宋" w:hAnsi="仿宋" w:eastAsia="仿宋" w:cs="仿宋"/>
          <w:color w:val="auto"/>
          <w:sz w:val="28"/>
          <w:szCs w:val="28"/>
          <w:highlight w:val="none"/>
        </w:rPr>
        <w:t>须提交查重报告1份，论文无须提交。</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申报时间</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各市（州）、各单位将本地区、本单位的申报材料汇总后，于202</w:t>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lang w:val="en-US" w:eastAsia="zh-CN"/>
        </w:rPr>
        <w:t>18-22</w:t>
      </w:r>
      <w:r>
        <w:rPr>
          <w:rFonts w:hint="eastAsia" w:ascii="仿宋" w:hAnsi="仿宋" w:eastAsia="仿宋" w:cs="仿宋"/>
          <w:color w:val="auto"/>
          <w:sz w:val="28"/>
          <w:szCs w:val="28"/>
          <w:highlight w:val="none"/>
        </w:rPr>
        <w:t>日报送贵州省教育科学规划领导小组办公室（省教育厅综合楼</w:t>
      </w:r>
      <w:r>
        <w:rPr>
          <w:rFonts w:hint="eastAsia" w:ascii="仿宋" w:hAnsi="仿宋" w:eastAsia="仿宋" w:cs="仿宋"/>
          <w:color w:val="auto"/>
          <w:sz w:val="28"/>
          <w:szCs w:val="28"/>
          <w:highlight w:val="none"/>
          <w:lang w:val="en-US" w:eastAsia="zh-CN"/>
        </w:rPr>
        <w:t>411</w:t>
      </w:r>
      <w:bookmarkStart w:id="0" w:name="_GoBack"/>
      <w:bookmarkEnd w:id="0"/>
      <w:r>
        <w:rPr>
          <w:rFonts w:hint="eastAsia" w:ascii="仿宋" w:hAnsi="仿宋" w:eastAsia="仿宋" w:cs="仿宋"/>
          <w:color w:val="auto"/>
          <w:kern w:val="0"/>
          <w:sz w:val="30"/>
          <w:szCs w:val="30"/>
          <w:highlight w:val="none"/>
          <w:lang w:val="en-US" w:eastAsia="zh-CN"/>
        </w:rPr>
        <w:t>-2</w:t>
      </w:r>
      <w:r>
        <w:rPr>
          <w:rFonts w:hint="eastAsia" w:ascii="仿宋" w:hAnsi="仿宋" w:eastAsia="仿宋" w:cs="仿宋"/>
          <w:color w:val="auto"/>
          <w:sz w:val="28"/>
          <w:szCs w:val="28"/>
          <w:highlight w:val="none"/>
        </w:rPr>
        <w:t>室），同时将《申报书》、《汇总表》电子版发送至gzjkyghb@163.com邮箱。申报工作逾期不予受理。联系人：</w:t>
      </w:r>
      <w:r>
        <w:rPr>
          <w:rFonts w:hint="eastAsia" w:ascii="仿宋" w:hAnsi="仿宋" w:eastAsia="仿宋" w:cs="仿宋"/>
          <w:color w:val="auto"/>
          <w:sz w:val="28"/>
          <w:szCs w:val="28"/>
          <w:highlight w:val="none"/>
          <w:lang w:val="en-US" w:eastAsia="zh-CN"/>
        </w:rPr>
        <w:t>曹志峰、刘军明、</w:t>
      </w:r>
      <w:r>
        <w:rPr>
          <w:rFonts w:hint="eastAsia" w:ascii="仿宋" w:hAnsi="仿宋" w:eastAsia="仿宋" w:cs="仿宋"/>
          <w:color w:val="auto"/>
          <w:kern w:val="0"/>
          <w:sz w:val="30"/>
          <w:szCs w:val="30"/>
          <w:highlight w:val="none"/>
          <w:lang w:val="en-US" w:eastAsia="zh-CN"/>
        </w:rPr>
        <w:t>余昌婷</w:t>
      </w:r>
      <w:r>
        <w:rPr>
          <w:rFonts w:hint="eastAsia" w:ascii="仿宋" w:hAnsi="仿宋" w:eastAsia="仿宋" w:cs="仿宋"/>
          <w:color w:val="auto"/>
          <w:sz w:val="28"/>
          <w:szCs w:val="28"/>
          <w:highlight w:val="none"/>
        </w:rPr>
        <w:t>。</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省教育科学规划领导小组办公室不直接受理个人申报。申报材料请自留副本，材料概不返回。</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562" w:firstLineChars="200"/>
        <w:jc w:val="both"/>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第六条  奖项设置</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本届成果奖评审分为：著作</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含工具书、教材</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、论文、</w:t>
      </w:r>
      <w:r>
        <w:rPr>
          <w:rFonts w:hint="eastAsia" w:ascii="仿宋" w:hAnsi="仿宋" w:eastAsia="仿宋" w:cs="仿宋"/>
          <w:color w:val="auto"/>
          <w:sz w:val="28"/>
          <w:szCs w:val="28"/>
          <w:highlight w:val="none"/>
          <w:lang w:val="en-US" w:eastAsia="zh-CN"/>
        </w:rPr>
        <w:t>研究报告和咨询报告四</w:t>
      </w:r>
      <w:r>
        <w:rPr>
          <w:rFonts w:hint="eastAsia" w:ascii="仿宋" w:hAnsi="仿宋" w:eastAsia="仿宋" w:cs="仿宋"/>
          <w:color w:val="auto"/>
          <w:sz w:val="28"/>
          <w:szCs w:val="28"/>
          <w:highlight w:val="none"/>
        </w:rPr>
        <w:t>个类别分别进行评审。分设一、二、三等奖，其中一等奖</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%左右，二等奖1</w:t>
      </w:r>
      <w:r>
        <w:rPr>
          <w:rFonts w:hint="eastAsia" w:ascii="仿宋" w:hAnsi="仿宋" w:eastAsia="仿宋" w:cs="仿宋"/>
          <w:color w:val="auto"/>
          <w:sz w:val="28"/>
          <w:szCs w:val="28"/>
          <w:highlight w:val="none"/>
          <w:lang w:val="en-US" w:eastAsia="zh-CN"/>
        </w:rPr>
        <w:t>0</w:t>
      </w:r>
      <w:r>
        <w:rPr>
          <w:rFonts w:hint="eastAsia" w:ascii="仿宋" w:hAnsi="仿宋" w:eastAsia="仿宋" w:cs="仿宋"/>
          <w:color w:val="auto"/>
          <w:sz w:val="28"/>
          <w:szCs w:val="28"/>
          <w:highlight w:val="none"/>
        </w:rPr>
        <w:t>%左右，三等奖</w:t>
      </w:r>
      <w:r>
        <w:rPr>
          <w:rFonts w:hint="eastAsia" w:ascii="仿宋" w:hAnsi="仿宋" w:eastAsia="仿宋" w:cs="仿宋"/>
          <w:color w:val="auto"/>
          <w:sz w:val="28"/>
          <w:szCs w:val="28"/>
          <w:highlight w:val="none"/>
          <w:lang w:val="en-US" w:eastAsia="zh-CN"/>
        </w:rPr>
        <w:t>15</w:t>
      </w:r>
      <w:r>
        <w:rPr>
          <w:rFonts w:hint="eastAsia" w:ascii="仿宋" w:hAnsi="仿宋" w:eastAsia="仿宋" w:cs="仿宋"/>
          <w:color w:val="auto"/>
          <w:sz w:val="28"/>
          <w:szCs w:val="28"/>
          <w:highlight w:val="none"/>
        </w:rPr>
        <w:t>%左右。</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562" w:firstLineChars="200"/>
        <w:jc w:val="both"/>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第七条  评奖要求</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评奖工作充分发扬学术民主，坚持公平、公正和公开的原则。</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宁缺毋滥，质量第一。评奖成果等级可以空缺但不得突破比例，上一等级空缺的名额可计入下一等级。</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任何个人和单位不得以任何方式干扰评奖工作，否则，一经查实，将撤销其参评资格，已获奖的取消获奖资格并予以通报。</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参加评审的专家和工作人员，不得徇私舞弊，否则，一经查实，将严肃处理。</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562" w:firstLineChars="200"/>
        <w:jc w:val="both"/>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第八条  公示及异议处理</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经评审拟授奖的成果实行公示制度。任何单位和个人对公示的科研成果奖持有异议的，须在公示之日起5日内以书面形式向贵州省教育科学规划领导小组办公室举报和投诉。</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贵州省教育科学规划领导小组对举报问题进行核查，作出处理决定。</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举报和投诉范围：评审工作徇私舞弊及违反评审程序的；申报者剽窃他人成果、弄虚作假或以其他不正当手段谋取奖励的。</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以下异议不在投诉范围：申报者个人对自己成果的评审奖次的异议；未提交相关证明材料的异议。</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562" w:firstLineChars="200"/>
        <w:jc w:val="both"/>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第九条  获奖公布</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获奖结果由贵州省教育厅予以公布，对获奖成果的主持人及成员，由省教育厅颁发获奖证书。</w:t>
      </w:r>
    </w:p>
    <w:sectPr>
      <w:footerReference r:id="rId3" w:type="default"/>
      <w:pgSz w:w="11906" w:h="16838"/>
      <w:pgMar w:top="1383" w:right="1689" w:bottom="1383" w:left="1689"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shape id="_x0000_s3073" o:spid="_x0000_s3073"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sdt>
                <w:sdtPr>
                  <w:id w:val="116069159"/>
                </w:sdtPr>
                <w:sdtContent>
                  <w:p>
                    <w:pPr>
                      <w:pStyle w:val="3"/>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lang w:val="zh-CN"/>
                      </w:rPr>
                      <w:t>-</w:t>
                    </w:r>
                    <w:r>
                      <w:rPr>
                        <w:rFonts w:ascii="宋体" w:hAnsi="宋体" w:eastAsia="宋体" w:cs="宋体"/>
                        <w:sz w:val="28"/>
                        <w:szCs w:val="28"/>
                      </w:rPr>
                      <w:t xml:space="preserve"> 1 -</w:t>
                    </w:r>
                    <w:r>
                      <w:rPr>
                        <w:rFonts w:hint="eastAsia" w:ascii="宋体" w:hAnsi="宋体" w:eastAsia="宋体" w:cs="宋体"/>
                        <w:sz w:val="28"/>
                        <w:szCs w:val="28"/>
                        <w:lang w:val="zh-CN"/>
                      </w:rPr>
                      <w:fldChar w:fldCharType="end"/>
                    </w:r>
                  </w:p>
                </w:sdtContent>
              </w:sdt>
              <w:p/>
            </w:txbxContent>
          </v:textbox>
        </v:shape>
      </w:pic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DEyMTNkMmNiMWU4Nzc5ZDI5YzJkYjZiYzE4OTIyODMifQ=="/>
  </w:docVars>
  <w:rsids>
    <w:rsidRoot w:val="00B53F07"/>
    <w:rsid w:val="000678BC"/>
    <w:rsid w:val="000A5B96"/>
    <w:rsid w:val="0012550D"/>
    <w:rsid w:val="00164B1B"/>
    <w:rsid w:val="00164E4E"/>
    <w:rsid w:val="001922F7"/>
    <w:rsid w:val="001C1261"/>
    <w:rsid w:val="001D6AE4"/>
    <w:rsid w:val="001E2694"/>
    <w:rsid w:val="00203374"/>
    <w:rsid w:val="00226F02"/>
    <w:rsid w:val="002C3A68"/>
    <w:rsid w:val="00317678"/>
    <w:rsid w:val="003577EB"/>
    <w:rsid w:val="00397AEF"/>
    <w:rsid w:val="003D59DD"/>
    <w:rsid w:val="003F0562"/>
    <w:rsid w:val="004423C2"/>
    <w:rsid w:val="0047590A"/>
    <w:rsid w:val="00477920"/>
    <w:rsid w:val="004C68BD"/>
    <w:rsid w:val="004E64D7"/>
    <w:rsid w:val="00501713"/>
    <w:rsid w:val="00523EB2"/>
    <w:rsid w:val="005778AD"/>
    <w:rsid w:val="005B141D"/>
    <w:rsid w:val="005B5837"/>
    <w:rsid w:val="005C4F91"/>
    <w:rsid w:val="005C74CD"/>
    <w:rsid w:val="005E033A"/>
    <w:rsid w:val="00615253"/>
    <w:rsid w:val="0066720E"/>
    <w:rsid w:val="00691C79"/>
    <w:rsid w:val="006E2DF1"/>
    <w:rsid w:val="006E3370"/>
    <w:rsid w:val="007D6961"/>
    <w:rsid w:val="008174A9"/>
    <w:rsid w:val="00871D68"/>
    <w:rsid w:val="00872CC3"/>
    <w:rsid w:val="008F4BA2"/>
    <w:rsid w:val="00960DF4"/>
    <w:rsid w:val="009725D1"/>
    <w:rsid w:val="009B1E13"/>
    <w:rsid w:val="00A35B30"/>
    <w:rsid w:val="00A91E24"/>
    <w:rsid w:val="00A93297"/>
    <w:rsid w:val="00A94105"/>
    <w:rsid w:val="00AA3D1F"/>
    <w:rsid w:val="00AA695C"/>
    <w:rsid w:val="00AB4D98"/>
    <w:rsid w:val="00AF1E57"/>
    <w:rsid w:val="00B238D6"/>
    <w:rsid w:val="00B27BF0"/>
    <w:rsid w:val="00B53F07"/>
    <w:rsid w:val="00BD5394"/>
    <w:rsid w:val="00C11268"/>
    <w:rsid w:val="00C13B56"/>
    <w:rsid w:val="00C347A4"/>
    <w:rsid w:val="00C45D40"/>
    <w:rsid w:val="00C57909"/>
    <w:rsid w:val="00C70CBF"/>
    <w:rsid w:val="00CD1FE1"/>
    <w:rsid w:val="00CE070C"/>
    <w:rsid w:val="00CE27C8"/>
    <w:rsid w:val="00D22778"/>
    <w:rsid w:val="00D77099"/>
    <w:rsid w:val="00D96625"/>
    <w:rsid w:val="00E32187"/>
    <w:rsid w:val="00E510D1"/>
    <w:rsid w:val="00E7565A"/>
    <w:rsid w:val="00E873F5"/>
    <w:rsid w:val="00EB112B"/>
    <w:rsid w:val="00EE01D8"/>
    <w:rsid w:val="00EE5A65"/>
    <w:rsid w:val="00F513D1"/>
    <w:rsid w:val="00F552BC"/>
    <w:rsid w:val="00F61C66"/>
    <w:rsid w:val="00FB482C"/>
    <w:rsid w:val="00FC12E0"/>
    <w:rsid w:val="01810283"/>
    <w:rsid w:val="01DA2D9E"/>
    <w:rsid w:val="02D16314"/>
    <w:rsid w:val="03DD7F34"/>
    <w:rsid w:val="0432735E"/>
    <w:rsid w:val="061711D6"/>
    <w:rsid w:val="06263838"/>
    <w:rsid w:val="09E97D3F"/>
    <w:rsid w:val="0A942F8F"/>
    <w:rsid w:val="0D5D3E94"/>
    <w:rsid w:val="0FDD130A"/>
    <w:rsid w:val="13516249"/>
    <w:rsid w:val="175507F4"/>
    <w:rsid w:val="19D21766"/>
    <w:rsid w:val="1C5044E0"/>
    <w:rsid w:val="1FC473C9"/>
    <w:rsid w:val="21DA38AD"/>
    <w:rsid w:val="226B58BD"/>
    <w:rsid w:val="22E23150"/>
    <w:rsid w:val="24160122"/>
    <w:rsid w:val="254A0D4A"/>
    <w:rsid w:val="268F6768"/>
    <w:rsid w:val="28184BF2"/>
    <w:rsid w:val="2A82258D"/>
    <w:rsid w:val="2C4D55E4"/>
    <w:rsid w:val="30A931B0"/>
    <w:rsid w:val="33514428"/>
    <w:rsid w:val="345A0C5F"/>
    <w:rsid w:val="35956011"/>
    <w:rsid w:val="36C14F98"/>
    <w:rsid w:val="36C56180"/>
    <w:rsid w:val="392F32A9"/>
    <w:rsid w:val="39F242FB"/>
    <w:rsid w:val="3D022BF3"/>
    <w:rsid w:val="3E4F1453"/>
    <w:rsid w:val="3FFE33BB"/>
    <w:rsid w:val="407B3234"/>
    <w:rsid w:val="408A49C4"/>
    <w:rsid w:val="427F259F"/>
    <w:rsid w:val="43E757F9"/>
    <w:rsid w:val="4651674B"/>
    <w:rsid w:val="47975891"/>
    <w:rsid w:val="4AC42F77"/>
    <w:rsid w:val="4C1E4213"/>
    <w:rsid w:val="4D9358D7"/>
    <w:rsid w:val="50080842"/>
    <w:rsid w:val="53F037F7"/>
    <w:rsid w:val="55E6075F"/>
    <w:rsid w:val="564A004F"/>
    <w:rsid w:val="5749719D"/>
    <w:rsid w:val="574D1E50"/>
    <w:rsid w:val="5758776A"/>
    <w:rsid w:val="5827444F"/>
    <w:rsid w:val="5A360A3D"/>
    <w:rsid w:val="5B1645F9"/>
    <w:rsid w:val="5B2732B5"/>
    <w:rsid w:val="5C2D1A67"/>
    <w:rsid w:val="5D85257A"/>
    <w:rsid w:val="5F812FDF"/>
    <w:rsid w:val="6687372F"/>
    <w:rsid w:val="673109BC"/>
    <w:rsid w:val="75A44ED9"/>
    <w:rsid w:val="77C03A05"/>
    <w:rsid w:val="79652BD2"/>
    <w:rsid w:val="7B743905"/>
    <w:rsid w:val="7BB35E76"/>
    <w:rsid w:val="7BDF7FCA"/>
    <w:rsid w:val="7DE96CEB"/>
    <w:rsid w:val="7E2748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themeColor="hyperlink"/>
      <w:u w:val="single"/>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http:/sdwm.org</Company>
  <Pages>5</Pages>
  <Words>312</Words>
  <Characters>1782</Characters>
  <Lines>14</Lines>
  <Paragraphs>4</Paragraphs>
  <TotalTime>4</TotalTime>
  <ScaleCrop>false</ScaleCrop>
  <LinksUpToDate>false</LinksUpToDate>
  <CharactersWithSpaces>2090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2020-12-24T08:41:00Z</dcterms:created>
  <dc:creator>深度联盟http:/sdwm.org</dc:creator>
  <cp:lastModifiedBy>jytwlzx</cp:lastModifiedBy>
  <cp:lastPrinted>2024-01-10T03:10:00Z</cp:lastPrinted>
  <dcterms:modified xsi:type="dcterms:W3CDTF">2024-01-24T03:46:56Z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EAE74F583CCE4478B63CBDDCB3BE5BEF</vt:lpwstr>
  </property>
</Properties>
</file>